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C5B38" w14:textId="071CBFED" w:rsidR="00A23A61" w:rsidRPr="008F2284" w:rsidRDefault="002E015B" w:rsidP="002E015B">
      <w:pPr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</w:pPr>
      <w:r w:rsidRPr="008F2284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 xml:space="preserve">Anexa </w:t>
      </w:r>
      <w:r w:rsidR="00C51D37" w:rsidRPr="008F2284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1</w:t>
      </w:r>
      <w:r w:rsidRPr="008F2284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 xml:space="preserve"> la Ghidul Solicitantului Condiții Specifice </w:t>
      </w:r>
    </w:p>
    <w:p w14:paraId="06944A44" w14:textId="7DFDB0C3" w:rsidR="002E015B" w:rsidRPr="008F2284" w:rsidRDefault="002E015B" w:rsidP="002E015B">
      <w:pPr>
        <w:jc w:val="center"/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</w:pPr>
      <w:r w:rsidRPr="008F2284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„</w:t>
      </w:r>
      <w:r w:rsidR="000F5592" w:rsidRPr="008F2284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>Consolidarea dialogului social și a parteneriatelor pentru ocupare și formare</w:t>
      </w:r>
      <w:r w:rsidR="00C92886" w:rsidRPr="008F2284">
        <w:rPr>
          <w:rFonts w:ascii="Trebuchet MS" w:hAnsi="Trebuchet MS"/>
          <w:b/>
          <w:bCs/>
          <w:i/>
          <w:color w:val="1F3864" w:themeColor="accent1" w:themeShade="80"/>
          <w:sz w:val="20"/>
          <w:szCs w:val="20"/>
          <w:lang w:val="ro-RO"/>
        </w:rPr>
        <w:t xml:space="preserve"> II (Federatii)</w:t>
      </w:r>
      <w:r w:rsidRPr="008F2284">
        <w:rPr>
          <w:rFonts w:ascii="Trebuchet MS" w:hAnsi="Trebuchet MS"/>
          <w:b/>
          <w:bCs/>
          <w:color w:val="1F3864" w:themeColor="accent1" w:themeShade="80"/>
          <w:sz w:val="20"/>
          <w:szCs w:val="20"/>
          <w:lang w:val="ro-RO"/>
        </w:rPr>
        <w:t>“</w:t>
      </w:r>
    </w:p>
    <w:p w14:paraId="01F1BACB" w14:textId="77777777" w:rsidR="003E5051" w:rsidRPr="008F2284" w:rsidRDefault="003E5051">
      <w:pPr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</w:pPr>
    </w:p>
    <w:p w14:paraId="3197B80B" w14:textId="77777777" w:rsidR="002E015B" w:rsidRPr="008F2284" w:rsidRDefault="002E015B" w:rsidP="002E015B">
      <w:pPr>
        <w:pStyle w:val="Heading2"/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</w:pPr>
      <w:r w:rsidRPr="008F2284">
        <w:rPr>
          <w:rFonts w:ascii="Trebuchet MS" w:eastAsiaTheme="minorHAnsi" w:hAnsi="Trebuchet MS" w:cstheme="minorBidi"/>
          <w:b/>
          <w:bCs/>
          <w:color w:val="1F3864" w:themeColor="accent1" w:themeShade="80"/>
          <w:sz w:val="20"/>
          <w:szCs w:val="20"/>
          <w:lang w:val="ro-RO"/>
        </w:rPr>
        <w:t>Criteriile de evaluare şi selecţie tehnică şi financiară preliminară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43"/>
        <w:gridCol w:w="3787"/>
        <w:gridCol w:w="6733"/>
        <w:gridCol w:w="2013"/>
      </w:tblGrid>
      <w:tr w:rsidR="008F2284" w:rsidRPr="008F2284" w14:paraId="4B8CD982" w14:textId="77777777" w:rsidTr="008F2284">
        <w:tc>
          <w:tcPr>
            <w:tcW w:w="244" w:type="pct"/>
          </w:tcPr>
          <w:p w14:paraId="247C3D9D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bookmarkStart w:id="0" w:name="_Hlk130826571"/>
            <w:bookmarkStart w:id="1" w:name="_Hlk130540465"/>
          </w:p>
        </w:tc>
        <w:tc>
          <w:tcPr>
            <w:tcW w:w="1437" w:type="pct"/>
          </w:tcPr>
          <w:p w14:paraId="4D5482AE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Criterii</w:t>
            </w:r>
          </w:p>
        </w:tc>
        <w:tc>
          <w:tcPr>
            <w:tcW w:w="2555" w:type="pct"/>
          </w:tcPr>
          <w:p w14:paraId="3E263476" w14:textId="77777777" w:rsidR="00F44861" w:rsidRPr="008F2284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Elemente verificate</w:t>
            </w:r>
          </w:p>
        </w:tc>
        <w:tc>
          <w:tcPr>
            <w:tcW w:w="764" w:type="pct"/>
          </w:tcPr>
          <w:p w14:paraId="5AB7783E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DA/NU/NA</w:t>
            </w:r>
          </w:p>
        </w:tc>
      </w:tr>
      <w:bookmarkEnd w:id="0"/>
      <w:tr w:rsidR="008F2284" w:rsidRPr="008F2284" w14:paraId="291247AC" w14:textId="77777777" w:rsidTr="008F2284">
        <w:tc>
          <w:tcPr>
            <w:tcW w:w="244" w:type="pct"/>
          </w:tcPr>
          <w:p w14:paraId="75813B25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1</w:t>
            </w:r>
          </w:p>
        </w:tc>
        <w:tc>
          <w:tcPr>
            <w:tcW w:w="1437" w:type="pct"/>
          </w:tcPr>
          <w:p w14:paraId="79C7025C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68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Solicitantul și Partenerii săi (dacă este cazul) fac parte din categoria de beneficiari eligibili și îndeplinesc condițiile de acces la finanțare stabilite în Ghidul Solicitantului - Condiții Specifice.</w:t>
            </w:r>
          </w:p>
          <w:p w14:paraId="62B27071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729083FA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2D24015C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595503DB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  <w:tc>
          <w:tcPr>
            <w:tcW w:w="2555" w:type="pct"/>
          </w:tcPr>
          <w:p w14:paraId="2D81D5CE" w14:textId="77777777" w:rsidR="00F44861" w:rsidRPr="008F2284" w:rsidRDefault="00F44861" w:rsidP="007A0F83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Cererea de finanțare este însoțită de toate anexele solicitate in Ghidul Solicitantului – Condiții Specifice și Condiții Generale:</w:t>
            </w:r>
          </w:p>
          <w:p w14:paraId="76929EA3" w14:textId="37424283" w:rsidR="00F44861" w:rsidRPr="008F2284" w:rsidRDefault="00F44861" w:rsidP="004B3D55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left="1065" w:right="132" w:hanging="705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Cererea de finanțare este însoțită de </w:t>
            </w:r>
            <w:r w:rsidR="007A0F83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„Declarație privind asumarea sustenabilității măsurilor finanțate“ pentru liderul de parteneriat </w:t>
            </w:r>
            <w:r w:rsidR="00C92886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sau</w:t>
            </w:r>
            <w:r w:rsidR="007A0F83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pentru partenerii </w:t>
            </w:r>
            <w:r w:rsidR="00C92886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care opteaza pentru dezvoltarea centrelor/birourilor de resurse/servicii</w:t>
            </w:r>
          </w:p>
          <w:p w14:paraId="71DCDC1B" w14:textId="77777777" w:rsidR="00F44861" w:rsidRPr="008F2284" w:rsidRDefault="00F44861" w:rsidP="007A0F83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Solicitantul și partenerii fac  parte  din categoriile de beneficiari eligibili menţionate în Ghidul Solicitantului -Condiții  Specifice și domeniul/ domeniile de activitate ale acestora sunt corespunzătoare activităților pe care le vor desfășura in proiect.</w:t>
            </w:r>
          </w:p>
          <w:p w14:paraId="100C6627" w14:textId="3E19D6BB" w:rsidR="00F44861" w:rsidRPr="008F2284" w:rsidRDefault="007A0F83" w:rsidP="00D54F9F">
            <w:pPr>
              <w:pStyle w:val="ListParagraph"/>
              <w:numPr>
                <w:ilvl w:val="0"/>
                <w:numId w:val="5"/>
              </w:numPr>
              <w:tabs>
                <w:tab w:val="left" w:pos="-540"/>
              </w:tabs>
              <w:ind w:left="1065"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Se verifică documentele care atestă încadrarea în categoriile de solicitanți și parteneri eligibili conform secțiunii 3.</w:t>
            </w:r>
            <w:r w:rsidR="00E31FFB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8</w:t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din Ghidul Solicitantului Condiții Specifice</w:t>
            </w:r>
          </w:p>
          <w:p w14:paraId="280BBBC9" w14:textId="36EE3421" w:rsidR="00F44861" w:rsidRPr="008F2284" w:rsidRDefault="007A0F83" w:rsidP="00D54F9F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5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E</w:t>
            </w:r>
            <w:r w:rsidR="00F44861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ste prezentată motivarea selectării și rolul concret al fiecărui partener / fiecărui tip de parteneri și fiecare dintre parteneri, acolo unde este cazul, este implicat   în cel puţin o activitate relevantă.</w:t>
            </w:r>
          </w:p>
          <w:p w14:paraId="1CA7CD49" w14:textId="77777777" w:rsidR="007A0F83" w:rsidRPr="008F2284" w:rsidRDefault="00F44861" w:rsidP="007A0F83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Beneficiarul (Solicitant unic, sau Parteneriatul (in cazul proiectelor implementate in parteneriat), demonstrează capacitate financiară, conform algoritmului.</w:t>
            </w:r>
          </w:p>
          <w:p w14:paraId="7B010AFD" w14:textId="56AE49C0" w:rsidR="00F44861" w:rsidRPr="00A31339" w:rsidRDefault="00F44861" w:rsidP="00A31339">
            <w:pPr>
              <w:pStyle w:val="ListParagraph"/>
              <w:numPr>
                <w:ilvl w:val="0"/>
                <w:numId w:val="6"/>
              </w:numPr>
              <w:tabs>
                <w:tab w:val="left" w:pos="-540"/>
              </w:tabs>
              <w:ind w:right="12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Activităţile de subcontractare se realizează  numai  de  către solicitantul de  finanţare,  </w:t>
            </w:r>
            <w:r w:rsidR="007A0F83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 </w:t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nu şi  de  partenerul acestuia.</w:t>
            </w:r>
          </w:p>
        </w:tc>
        <w:tc>
          <w:tcPr>
            <w:tcW w:w="764" w:type="pct"/>
          </w:tcPr>
          <w:p w14:paraId="720F8D89" w14:textId="77777777" w:rsidR="00F44861" w:rsidRPr="008F2284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  <w:p w14:paraId="59B5A3E6" w14:textId="77777777" w:rsidR="00F44861" w:rsidRPr="008F2284" w:rsidRDefault="00F44861" w:rsidP="004B3D55">
            <w:pPr>
              <w:tabs>
                <w:tab w:val="left" w:pos="-540"/>
              </w:tabs>
              <w:ind w:right="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  <w:p w14:paraId="285D9462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ab/>
            </w:r>
          </w:p>
        </w:tc>
      </w:tr>
      <w:tr w:rsidR="008F2284" w:rsidRPr="008F2284" w14:paraId="0C4D8BCA" w14:textId="77777777" w:rsidTr="00A31339">
        <w:trPr>
          <w:trHeight w:val="1125"/>
        </w:trPr>
        <w:tc>
          <w:tcPr>
            <w:tcW w:w="244" w:type="pct"/>
          </w:tcPr>
          <w:p w14:paraId="3D5463AE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lastRenderedPageBreak/>
              <w:t>2</w:t>
            </w:r>
          </w:p>
        </w:tc>
        <w:tc>
          <w:tcPr>
            <w:tcW w:w="1437" w:type="pct"/>
          </w:tcPr>
          <w:p w14:paraId="613882D2" w14:textId="339C3C91" w:rsidR="00F44861" w:rsidRPr="008F2284" w:rsidRDefault="00F44861" w:rsidP="00A31339">
            <w:pPr>
              <w:tabs>
                <w:tab w:val="left" w:pos="-540"/>
              </w:tabs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se încadrează</w:t>
            </w:r>
            <w:r w:rsidR="00D54F9F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în programul operațional, conform specificului de finanțare si conform</w:t>
            </w:r>
            <w:r w:rsidR="00D54F9F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 xml:space="preserve"> </w:t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Ghidului Solicitantului - Condiții Specifice?</w:t>
            </w:r>
          </w:p>
        </w:tc>
        <w:tc>
          <w:tcPr>
            <w:tcW w:w="2555" w:type="pct"/>
          </w:tcPr>
          <w:p w14:paraId="7B3CB20E" w14:textId="0ACCC3BB" w:rsidR="00F44861" w:rsidRPr="00A31339" w:rsidRDefault="00F44861" w:rsidP="004B3D55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Proiectul</w:t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ab/>
              <w:t>este</w:t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ab/>
              <w:t xml:space="preserve">încadrat în prioritatea, obiectivul specific, indicatorii de realizare imediată şi de rezultat, rezultate, grup tinta, durată, conform </w:t>
            </w:r>
            <w:r w:rsidR="007A0F83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PEO </w:t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şi conform Ghidului Solicitantului - Condiții Specifice.</w:t>
            </w:r>
          </w:p>
        </w:tc>
        <w:tc>
          <w:tcPr>
            <w:tcW w:w="764" w:type="pct"/>
          </w:tcPr>
          <w:p w14:paraId="6287BC3E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8F2284" w:rsidRPr="008F2284" w14:paraId="2C78F24C" w14:textId="77777777" w:rsidTr="008F2284">
        <w:tc>
          <w:tcPr>
            <w:tcW w:w="244" w:type="pct"/>
          </w:tcPr>
          <w:p w14:paraId="15F88220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3</w:t>
            </w:r>
          </w:p>
        </w:tc>
        <w:tc>
          <w:tcPr>
            <w:tcW w:w="1437" w:type="pct"/>
          </w:tcPr>
          <w:p w14:paraId="79A4D2DF" w14:textId="0523E130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7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Bugetul   proiectului   respectă</w:t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sz w:val="20"/>
                <w:szCs w:val="20"/>
                <w:lang w:val="ro-RO"/>
              </w:rPr>
              <w:t xml:space="preserve"> </w:t>
            </w: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prevederile privind eligibilitatea cheltuielilor si regulile de stabilire a acestora, conform prevederilor Ghidului Solicitantului - Condiții Specifice?</w:t>
            </w:r>
          </w:p>
        </w:tc>
        <w:tc>
          <w:tcPr>
            <w:tcW w:w="2555" w:type="pct"/>
          </w:tcPr>
          <w:p w14:paraId="19918C25" w14:textId="77777777" w:rsidR="007A0F83" w:rsidRPr="008F2284" w:rsidRDefault="00F44861" w:rsidP="004B3D55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Valoarea  asistenței  financiare nerambursabile solicitate se înscriu în limitele stabilite în Ghidul Solicitantului - Condiții Specifice.</w:t>
            </w:r>
          </w:p>
          <w:p w14:paraId="1E00AE9A" w14:textId="3437FFFA" w:rsidR="00F44861" w:rsidRPr="008F2284" w:rsidRDefault="00F44861" w:rsidP="004B3D55">
            <w:pPr>
              <w:pStyle w:val="ListParagraph"/>
              <w:numPr>
                <w:ilvl w:val="0"/>
                <w:numId w:val="7"/>
              </w:numPr>
              <w:tabs>
                <w:tab w:val="left" w:pos="-540"/>
              </w:tabs>
              <w:ind w:right="13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Bugetul respectă rata de cofinanţare (FSE +, buget național și contribuție proprie).</w:t>
            </w:r>
          </w:p>
        </w:tc>
        <w:tc>
          <w:tcPr>
            <w:tcW w:w="764" w:type="pct"/>
          </w:tcPr>
          <w:p w14:paraId="1B371DA5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  <w:tr w:rsidR="008F2284" w:rsidRPr="008F2284" w14:paraId="23FBC034" w14:textId="77777777" w:rsidTr="008F2284">
        <w:tc>
          <w:tcPr>
            <w:tcW w:w="244" w:type="pct"/>
          </w:tcPr>
          <w:p w14:paraId="36F41FA8" w14:textId="77777777" w:rsidR="00F44861" w:rsidRPr="008F2284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4</w:t>
            </w:r>
          </w:p>
        </w:tc>
        <w:tc>
          <w:tcPr>
            <w:tcW w:w="1437" w:type="pct"/>
          </w:tcPr>
          <w:p w14:paraId="4E6F45E6" w14:textId="77777777" w:rsidR="00F44861" w:rsidRPr="008F2284" w:rsidRDefault="00F44861" w:rsidP="004B3D55">
            <w:pPr>
              <w:tabs>
                <w:tab w:val="left" w:pos="-540"/>
              </w:tabs>
              <w:spacing w:after="160" w:line="259" w:lineRule="auto"/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  <w:t>Proiectul cuprinde cel puțin activitățile obligatorii?</w:t>
            </w:r>
          </w:p>
          <w:p w14:paraId="1DD9688A" w14:textId="77777777" w:rsidR="00F44861" w:rsidRPr="008F2284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  <w:tc>
          <w:tcPr>
            <w:tcW w:w="2555" w:type="pct"/>
          </w:tcPr>
          <w:p w14:paraId="2D2AE882" w14:textId="77777777" w:rsidR="007A0F83" w:rsidRPr="008F2284" w:rsidRDefault="00F44861" w:rsidP="007A0F83">
            <w:pPr>
              <w:pStyle w:val="ListParagraph"/>
              <w:numPr>
                <w:ilvl w:val="0"/>
                <w:numId w:val="8"/>
              </w:numPr>
              <w:tabs>
                <w:tab w:val="left" w:pos="-540"/>
              </w:tabs>
              <w:ind w:right="42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Proiectul cuprinde activitățile obligatorii, prevăzute în Ghidul Solicitantului– Condiții Specifice</w:t>
            </w:r>
            <w:r w:rsidR="007A0F83"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:</w:t>
            </w:r>
          </w:p>
          <w:p w14:paraId="03E682AE" w14:textId="67CB7603" w:rsidR="00C92886" w:rsidRPr="008F2284" w:rsidRDefault="00C92886" w:rsidP="00C9288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Activitatea 0: Realizarea analizei de nevoi și elaborarea Cererii de finanțare</w:t>
            </w:r>
          </w:p>
          <w:p w14:paraId="6EC8385C" w14:textId="037B2D41" w:rsidR="00C92886" w:rsidRPr="008F2284" w:rsidRDefault="00C92886" w:rsidP="00C9288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Activitatea 1 – Acțiuni care vizează digitalizarea și îmbunătățirea capacității partenerilor sociali  </w:t>
            </w:r>
          </w:p>
          <w:p w14:paraId="5BE2A76B" w14:textId="2783DA20" w:rsidR="00C92886" w:rsidRPr="008F2284" w:rsidRDefault="00C92886" w:rsidP="00C9288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 xml:space="preserve">Activitatea 2- Sprijin pentru furnizarea de pachete integrate în scopul modernizării dialogului social sectorial </w:t>
            </w:r>
          </w:p>
          <w:p w14:paraId="388C43C2" w14:textId="78623170" w:rsidR="00F44861" w:rsidRPr="008F2284" w:rsidRDefault="00C92886" w:rsidP="00C92886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rebuchet MS" w:hAnsi="Trebuchet MS"/>
                <w:b/>
                <w:bCs/>
                <w:i/>
                <w:iCs/>
                <w:color w:val="1F3864" w:themeColor="accent1" w:themeShade="80"/>
                <w:sz w:val="20"/>
                <w:szCs w:val="20"/>
                <w:u w:val="single"/>
              </w:rPr>
            </w:pPr>
            <w:r w:rsidRPr="008F2284"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</w:rPr>
              <w:t>Activitatea 3 - Acțiuni de formare, evaluare și certificare a rezultatelor formării</w:t>
            </w:r>
          </w:p>
        </w:tc>
        <w:tc>
          <w:tcPr>
            <w:tcW w:w="764" w:type="pct"/>
          </w:tcPr>
          <w:p w14:paraId="78104A35" w14:textId="77777777" w:rsidR="00F44861" w:rsidRPr="008F2284" w:rsidRDefault="00F44861" w:rsidP="004B3D55">
            <w:pPr>
              <w:tabs>
                <w:tab w:val="left" w:pos="-540"/>
              </w:tabs>
              <w:ind w:right="-630"/>
              <w:jc w:val="both"/>
              <w:rPr>
                <w:rFonts w:ascii="Trebuchet MS" w:eastAsia="Calibri" w:hAnsi="Trebuchet MS" w:cs="Times New Roman"/>
                <w:color w:val="1F3864" w:themeColor="accent1" w:themeShade="80"/>
                <w:w w:val="105"/>
                <w:sz w:val="20"/>
                <w:szCs w:val="20"/>
                <w:lang w:val="ro-RO"/>
              </w:rPr>
            </w:pPr>
          </w:p>
        </w:tc>
      </w:tr>
    </w:tbl>
    <w:bookmarkEnd w:id="1"/>
    <w:p w14:paraId="0C094291" w14:textId="1EB8CAB6" w:rsidR="00F44861" w:rsidRPr="008F2284" w:rsidRDefault="000B611A" w:rsidP="00F44861">
      <w:pPr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</w:pPr>
      <w:r w:rsidRPr="008F2284">
        <w:rPr>
          <w:rFonts w:ascii="Trebuchet MS" w:hAnsi="Trebuchet MS"/>
          <w:color w:val="1F3864" w:themeColor="accent1" w:themeShade="80"/>
          <w:sz w:val="20"/>
          <w:szCs w:val="20"/>
          <w:lang w:val="ro-RO"/>
        </w:rPr>
        <w:t>Cererile de finanțare care obțin Nu la unul din elementele de verificare vor fi respinse.</w:t>
      </w:r>
    </w:p>
    <w:sectPr w:rsidR="00F44861" w:rsidRPr="008F2284" w:rsidSect="008F228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56051"/>
    <w:multiLevelType w:val="hybridMultilevel"/>
    <w:tmpl w:val="327E5F94"/>
    <w:lvl w:ilvl="0" w:tplc="FCD895DA">
      <w:start w:val="14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907264"/>
    <w:multiLevelType w:val="hybridMultilevel"/>
    <w:tmpl w:val="6BB692A4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9C1415"/>
    <w:multiLevelType w:val="hybridMultilevel"/>
    <w:tmpl w:val="5D5C06E6"/>
    <w:lvl w:ilvl="0" w:tplc="637AD1BA">
      <w:start w:val="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C2672F"/>
    <w:multiLevelType w:val="hybridMultilevel"/>
    <w:tmpl w:val="EB7A28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0D526C"/>
    <w:multiLevelType w:val="hybridMultilevel"/>
    <w:tmpl w:val="8C400AA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18033C"/>
    <w:multiLevelType w:val="hybridMultilevel"/>
    <w:tmpl w:val="04CA1C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3546E"/>
    <w:multiLevelType w:val="hybridMultilevel"/>
    <w:tmpl w:val="7EB8FF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3421B4"/>
    <w:multiLevelType w:val="hybridMultilevel"/>
    <w:tmpl w:val="591E4B3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1148314">
    <w:abstractNumId w:val="1"/>
  </w:num>
  <w:num w:numId="2" w16cid:durableId="2031761092">
    <w:abstractNumId w:val="7"/>
  </w:num>
  <w:num w:numId="3" w16cid:durableId="2079088157">
    <w:abstractNumId w:val="2"/>
  </w:num>
  <w:num w:numId="4" w16cid:durableId="505248137">
    <w:abstractNumId w:val="6"/>
  </w:num>
  <w:num w:numId="5" w16cid:durableId="149517209">
    <w:abstractNumId w:val="0"/>
  </w:num>
  <w:num w:numId="6" w16cid:durableId="353271167">
    <w:abstractNumId w:val="3"/>
  </w:num>
  <w:num w:numId="7" w16cid:durableId="1226524107">
    <w:abstractNumId w:val="5"/>
  </w:num>
  <w:num w:numId="8" w16cid:durableId="807864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015B"/>
    <w:rsid w:val="000B611A"/>
    <w:rsid w:val="000F5592"/>
    <w:rsid w:val="00142D24"/>
    <w:rsid w:val="002E015B"/>
    <w:rsid w:val="003E5051"/>
    <w:rsid w:val="004E11A8"/>
    <w:rsid w:val="005106EA"/>
    <w:rsid w:val="005C16A3"/>
    <w:rsid w:val="006E13DF"/>
    <w:rsid w:val="007A0F83"/>
    <w:rsid w:val="007F2256"/>
    <w:rsid w:val="008F2284"/>
    <w:rsid w:val="00A23A61"/>
    <w:rsid w:val="00A31339"/>
    <w:rsid w:val="00A469FA"/>
    <w:rsid w:val="00AC5303"/>
    <w:rsid w:val="00B91F06"/>
    <w:rsid w:val="00C04DDB"/>
    <w:rsid w:val="00C22898"/>
    <w:rsid w:val="00C51D37"/>
    <w:rsid w:val="00C92886"/>
    <w:rsid w:val="00CF2331"/>
    <w:rsid w:val="00D54F9F"/>
    <w:rsid w:val="00E31FFB"/>
    <w:rsid w:val="00F21AB4"/>
    <w:rsid w:val="00F4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03A79"/>
  <w15:docId w15:val="{842DA6B7-983E-4763-8D0E-FD185EC1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015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015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E015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leGrid">
    <w:name w:val="Table Grid"/>
    <w:basedOn w:val="TableNormal"/>
    <w:uiPriority w:val="59"/>
    <w:rsid w:val="002E01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Normal bullet 2,List Paragraph1,body 2,List Paragraph11,List Paragraph111,Antes de enumeración,Listă colorată - Accentuare 11,Bullet,Citation List,List_Paragraph,Multilevel para_II"/>
    <w:basedOn w:val="Normal"/>
    <w:link w:val="ListParagraphChar"/>
    <w:uiPriority w:val="34"/>
    <w:qFormat/>
    <w:rsid w:val="00C22898"/>
    <w:pPr>
      <w:spacing w:after="160" w:line="259" w:lineRule="auto"/>
      <w:ind w:left="720"/>
      <w:contextualSpacing/>
    </w:pPr>
    <w:rPr>
      <w:lang w:val="ro-RO"/>
    </w:rPr>
  </w:style>
  <w:style w:type="character" w:customStyle="1" w:styleId="ListParagraphChar">
    <w:name w:val="List Paragraph Char"/>
    <w:aliases w:val="Normal bullet 2 Char,List Paragraph1 Char,body 2 Char,List Paragraph11 Char,List Paragraph111 Char,Antes de enumeración Char,Listă colorată - Accentuare 11 Char,Bullet Char,Citation List Char,List_Paragraph Char"/>
    <w:link w:val="ListParagraph"/>
    <w:uiPriority w:val="34"/>
    <w:locked/>
    <w:rsid w:val="00C22898"/>
    <w:rPr>
      <w:lang w:val="ro-RO"/>
    </w:rPr>
  </w:style>
  <w:style w:type="paragraph" w:styleId="Revision">
    <w:name w:val="Revision"/>
    <w:hidden/>
    <w:uiPriority w:val="99"/>
    <w:semiHidden/>
    <w:rsid w:val="00F4486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A0F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0F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0F8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0F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0F8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465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22</cp:revision>
  <dcterms:created xsi:type="dcterms:W3CDTF">2023-02-21T13:12:00Z</dcterms:created>
  <dcterms:modified xsi:type="dcterms:W3CDTF">2023-05-05T15:29:00Z</dcterms:modified>
</cp:coreProperties>
</file>